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autoSpaceDE/>
        <w:autoSpaceDN/>
        <w:bidi w:val="0"/>
        <w:adjustRightInd w:val="0"/>
        <w:snapToGrid w:val="0"/>
        <w:spacing w:line="580" w:lineRule="exact"/>
        <w:jc w:val="both"/>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pPr>
        <w:rPr>
          <w:rFonts w:hint="default"/>
          <w:lang w:val="en-US" w:eastAsia="zh-CN"/>
        </w:rPr>
      </w:pPr>
    </w:p>
    <w:p>
      <w:pPr>
        <w:pStyle w:val="5"/>
        <w:keepNext w:val="0"/>
        <w:keepLines w:val="0"/>
        <w:pageBreakBefore w:val="0"/>
        <w:widowControl w:val="0"/>
        <w:kinsoku/>
        <w:wordWrap/>
        <w:overflowPunct/>
        <w:autoSpaceDE/>
        <w:autoSpaceDN/>
        <w:bidi w:val="0"/>
        <w:adjustRightInd w:val="0"/>
        <w:snapToGrid w:val="0"/>
        <w:spacing w:line="580" w:lineRule="exact"/>
        <w:textAlignment w:val="auto"/>
      </w:pPr>
      <w:r>
        <w:rPr>
          <w:rFonts w:hint="eastAsia"/>
          <w:lang w:eastAsia="zh-CN"/>
        </w:rPr>
        <w:t>乐山市市级</w:t>
      </w:r>
      <w:r>
        <w:t>国有资本经营预算管理办法</w:t>
      </w:r>
    </w:p>
    <w:p>
      <w:pPr>
        <w:pStyle w:val="5"/>
        <w:keepNext w:val="0"/>
        <w:keepLines w:val="0"/>
        <w:pageBreakBefore w:val="0"/>
        <w:widowControl w:val="0"/>
        <w:kinsoku/>
        <w:wordWrap/>
        <w:overflowPunct/>
        <w:autoSpaceDE/>
        <w:autoSpaceDN/>
        <w:bidi w:val="0"/>
        <w:adjustRightInd w:val="0"/>
        <w:snapToGrid w:val="0"/>
        <w:spacing w:line="580" w:lineRule="exact"/>
        <w:textAlignment w:val="auto"/>
        <w:rPr>
          <w:rFonts w:hint="eastAsia" w:eastAsia="方正小标宋简体"/>
          <w:lang w:val="en-US" w:eastAsia="zh-CN"/>
        </w:rPr>
      </w:pPr>
      <w:bookmarkStart w:id="0" w:name="_GoBack"/>
      <w:bookmarkEnd w:id="0"/>
      <w:r>
        <w:rPr>
          <w:rFonts w:hint="eastAsia"/>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第一</w:t>
      </w:r>
      <w:r>
        <w:rPr>
          <w:rFonts w:hint="eastAsia" w:ascii="黑体" w:eastAsia="黑体" w:cstheme="minorBidi"/>
          <w:bCs/>
          <w:kern w:val="44"/>
          <w:sz w:val="32"/>
          <w:szCs w:val="44"/>
          <w:lang w:val="en-US" w:eastAsia="zh-CN" w:bidi="ar-SA"/>
        </w:rPr>
        <w:t>条</w:t>
      </w:r>
      <w:r>
        <w:rPr>
          <w:rFonts w:hint="eastAsia" w:ascii="仿宋_GB2312" w:hAnsi="Calibri" w:eastAsia="仿宋_GB2312" w:cs="Times New Roman"/>
          <w:color w:val="000000"/>
          <w:kern w:val="2"/>
          <w:sz w:val="32"/>
          <w:szCs w:val="36"/>
          <w:lang w:val="en-US" w:eastAsia="zh-CN" w:bidi="ar-SA"/>
        </w:rPr>
        <w:t> 为加强和规范国有资本经营预算管理，维护国有资本权益，优化国有资本配置，增强政府宏观调控能力，根据《中华人民共和国预算法》及其实施条例、《中华人民共和国公司法》、《中华人民共和国企业国有资产法》等规定，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第二条 </w:t>
      </w:r>
      <w:r>
        <w:rPr>
          <w:rFonts w:hint="eastAsia" w:ascii="仿宋_GB2312" w:hAnsi="Calibri" w:eastAsia="仿宋_GB2312" w:cs="Times New Roman"/>
          <w:color w:val="000000"/>
          <w:kern w:val="2"/>
          <w:sz w:val="32"/>
          <w:szCs w:val="36"/>
          <w:lang w:val="en-US" w:eastAsia="zh-CN" w:bidi="ar-SA"/>
        </w:rPr>
        <w:t>市级国有资本经营预算的编制、执行、调整，以及决算和监督等预算管理活动，适用本办法。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第三条</w:t>
      </w:r>
      <w:r>
        <w:rPr>
          <w:rFonts w:hint="eastAsia" w:ascii="仿宋_GB2312" w:hAnsi="Calibri" w:eastAsia="仿宋_GB2312" w:cs="Times New Roman"/>
          <w:color w:val="000000"/>
          <w:kern w:val="2"/>
          <w:sz w:val="32"/>
          <w:szCs w:val="36"/>
          <w:lang w:val="en-US" w:eastAsia="zh-CN" w:bidi="ar-SA"/>
        </w:rPr>
        <w:t> 本办法所称</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国有资本经营预算，是指</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政府以所有者身份从出资企业依法依规取得国有资本收益、对所得收入作出支出安排的管理活动。</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国有资本经营预算由预算收入和预算支出组成。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国有资本经营预算根据国家宏观经济政策和中期财政规划要求，遵循以下原则实行滚动编制。        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（一）收支平衡，不列赤字。</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国有资本经营预算按照收支平衡的原则编制，以收定支、不列赤字。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（二）统筹兼顾，适度集中。统筹兼顾企业自身积累发展和</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委、</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政府国有经济布局优化和结构调整的需要，适度集中国有资本收益，合理确定支出方向和重点。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（三）相互衔接，讲求绩效。</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国有资本经营预算保持完整独立，并与一般公共预算、政府性基金预算相衔接，实行全过程预算绩效管理。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（四）预算法定，公开透明。</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国有资本经营预算、预算调整、决算经法定程序批准后实施，并依法向社会公开,涉及国家秘密的除外。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第五条 </w:t>
      </w:r>
      <w:r>
        <w:rPr>
          <w:rFonts w:hint="eastAsia" w:ascii="仿宋_GB2312" w:hAnsi="Calibri" w:eastAsia="仿宋_GB2312" w:cs="Times New Roman"/>
          <w:color w:val="000000"/>
          <w:kern w:val="2"/>
          <w:sz w:val="32"/>
          <w:szCs w:val="36"/>
          <w:lang w:val="en-US" w:eastAsia="zh-CN" w:bidi="ar-SA"/>
        </w:rPr>
        <w:t>市属国有企业和</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属企业化管理的事业单位（以下统称</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属国有企业）全部纳入</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国有资本经营预算管理范围。</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属国有企业是指</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授权</w:t>
      </w:r>
      <w:r>
        <w:rPr>
          <w:rFonts w:hint="eastAsia" w:ascii="仿宋_GB2312" w:eastAsia="仿宋_GB2312" w:cs="Times New Roman"/>
          <w:color w:val="000000"/>
          <w:kern w:val="2"/>
          <w:sz w:val="32"/>
          <w:szCs w:val="36"/>
          <w:lang w:val="en-US" w:eastAsia="zh-CN" w:bidi="ar-SA"/>
        </w:rPr>
        <w:t>市国资委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市财政局</w:t>
      </w:r>
      <w:r>
        <w:rPr>
          <w:rFonts w:hint="eastAsia" w:ascii="仿宋_GB2312" w:hAnsi="Calibri" w:eastAsia="仿宋_GB2312" w:cs="Times New Roman"/>
          <w:color w:val="000000"/>
          <w:kern w:val="2"/>
          <w:sz w:val="32"/>
          <w:szCs w:val="36"/>
          <w:lang w:val="en-US" w:eastAsia="zh-CN" w:bidi="ar-SA"/>
        </w:rPr>
        <w:t>以及其他</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部门（单位）履行出资人职责的国有独资、国有控股（参股）一级企业以及</w:t>
      </w:r>
      <w:r>
        <w:rPr>
          <w:rFonts w:hint="eastAsia" w:ascii="仿宋_GB2312" w:eastAsia="仿宋_GB2312" w:cs="Times New Roman"/>
          <w:color w:val="000000"/>
          <w:kern w:val="2"/>
          <w:sz w:val="32"/>
          <w:szCs w:val="36"/>
          <w:lang w:val="en-US" w:eastAsia="zh-CN" w:bidi="ar-SA"/>
        </w:rPr>
        <w:t>市委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明确视同一级企业管理的企业。企业化管理的事业单位是指</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党政机关所属实行企业化管理的从事生产经营活动的事业单位。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第二章 管理职责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第六条 </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财政部门（以下简称财政部门）在</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领导下具体负责</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国有资本经营预算管理，</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授权履行</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国有企业出资人职责的部门或机构（以下称为监管部门）、</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国有企业按照职能分工履行相关职责。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第七条 </w:t>
      </w:r>
      <w:r>
        <w:rPr>
          <w:rFonts w:hint="eastAsia" w:ascii="仿宋_GB2312" w:hAnsi="Calibri" w:eastAsia="仿宋_GB2312" w:cs="Times New Roman"/>
          <w:color w:val="000000"/>
          <w:kern w:val="2"/>
          <w:sz w:val="32"/>
          <w:szCs w:val="36"/>
          <w:lang w:val="en-US" w:eastAsia="zh-CN" w:bidi="ar-SA"/>
        </w:rPr>
        <w:t>财政部门的主要职责是：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（一）制（修）订</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（二）确定</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国有资本经营预算支出方向和重点。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（三）编制国有资本经营预（决）算草案，调整方案，依法批复</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（四）督促国有资本经营预算执行，并向</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、财政</w:t>
      </w:r>
      <w:r>
        <w:rPr>
          <w:rFonts w:hint="eastAsia" w:ascii="仿宋_GB2312" w:eastAsia="仿宋_GB2312" w:cs="Times New Roman"/>
          <w:color w:val="000000"/>
          <w:kern w:val="2"/>
          <w:sz w:val="32"/>
          <w:szCs w:val="36"/>
          <w:lang w:val="en-US" w:eastAsia="zh-CN" w:bidi="ar-SA"/>
        </w:rPr>
        <w:t>厅</w:t>
      </w:r>
      <w:r>
        <w:rPr>
          <w:rFonts w:hint="eastAsia" w:ascii="仿宋_GB2312" w:hAnsi="Calibri" w:eastAsia="仿宋_GB2312" w:cs="Times New Roman"/>
          <w:color w:val="000000"/>
          <w:kern w:val="2"/>
          <w:sz w:val="32"/>
          <w:szCs w:val="36"/>
          <w:lang w:val="en-US" w:eastAsia="zh-CN" w:bidi="ar-SA"/>
        </w:rPr>
        <w:t>报告相关情况。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（五）组织开展预算绩效管理和监督检查。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（六）依法公开</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国有资本经营预（决）算和执行情况。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（七）法律法规规定的其他职责。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第八条 </w:t>
      </w:r>
      <w:r>
        <w:rPr>
          <w:rFonts w:hint="eastAsia" w:ascii="仿宋_GB2312" w:hAnsi="Calibri" w:eastAsia="仿宋_GB2312" w:cs="Times New Roman"/>
          <w:color w:val="000000"/>
          <w:kern w:val="2"/>
          <w:sz w:val="32"/>
          <w:szCs w:val="36"/>
          <w:lang w:val="en-US" w:eastAsia="zh-CN" w:bidi="ar-SA"/>
        </w:rPr>
        <w:t>监管部门的主要职责是：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（一）配合财政部门制（修）订</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（二）提出</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国有资本经营预算支出方向和重点建议。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（三）编制本部门监管企业预算建议草案、调整建议方案，组织本部门监管企业预算执行，向财政部门报告预算执行情况。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（四）审核本部门监管企业申报的应缴国有资本收益，并按规定将上缴情况纳入企业负责人经营业绩考核。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（五）按要求组织实施预算绩效管理，会同财政部门开展监督检查。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（六）法律法规规定的其他职责。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第九条 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国有企业的主要职责是：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（一）按规定申报、上缴国有资本收益。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（二）组织本企业预算执行并依法接受监督。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（三）按要求实施预算绩效管理。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（四）按照规定向财政部门、监管部门报送财务会计信息资料等。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（五）建立健全本企业国有资本经营预算资金管理制度和内部审计制度，规范资金核算，确保资金合法合规使用，维护国有资本权益。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（六）法律法规规定的其他职责。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第三章 预算收入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国有资本经营预算收入主要包括</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国有企业上缴</w:t>
      </w:r>
      <w:r>
        <w:rPr>
          <w:rFonts w:hint="eastAsia" w:ascii="仿宋_GB2312" w:eastAsia="仿宋_GB2312" w:cs="Times New Roman"/>
          <w:color w:val="000000"/>
          <w:kern w:val="2"/>
          <w:sz w:val="32"/>
          <w:szCs w:val="36"/>
          <w:lang w:val="en-US" w:eastAsia="zh-CN" w:bidi="ar-SA"/>
        </w:rPr>
        <w:t>的</w:t>
      </w:r>
      <w:r>
        <w:rPr>
          <w:rFonts w:hint="eastAsia" w:ascii="仿宋_GB2312" w:hAnsi="Calibri" w:eastAsia="仿宋_GB2312" w:cs="Times New Roman"/>
          <w:color w:val="000000"/>
          <w:kern w:val="2"/>
          <w:sz w:val="32"/>
          <w:szCs w:val="36"/>
          <w:lang w:val="en-US" w:eastAsia="zh-CN" w:bidi="ar-SA"/>
        </w:rPr>
        <w:t>国有资本收益</w:t>
      </w:r>
      <w:r>
        <w:rPr>
          <w:rFonts w:hint="eastAsia" w:ascii="仿宋_GB2312" w:eastAsia="仿宋_GB2312" w:cs="Times New Roman"/>
          <w:color w:val="000000"/>
          <w:kern w:val="2"/>
          <w:sz w:val="32"/>
          <w:szCs w:val="36"/>
          <w:lang w:val="en-US" w:eastAsia="zh-CN" w:bidi="ar-SA"/>
        </w:rPr>
        <w:t>，</w:t>
      </w:r>
      <w:r>
        <w:rPr>
          <w:rFonts w:hint="eastAsia" w:ascii="仿宋_GB2312" w:hAnsi="Calibri" w:eastAsia="仿宋_GB2312" w:cs="Times New Roman"/>
          <w:color w:val="000000"/>
          <w:kern w:val="2"/>
          <w:sz w:val="32"/>
          <w:szCs w:val="36"/>
          <w:lang w:val="en-US" w:eastAsia="zh-CN" w:bidi="ar-SA"/>
        </w:rPr>
        <w:t>中央</w:t>
      </w:r>
      <w:r>
        <w:rPr>
          <w:rFonts w:hint="eastAsia" w:ascii="仿宋_GB2312" w:eastAsia="仿宋_GB2312" w:cs="Times New Roman"/>
          <w:color w:val="000000"/>
          <w:kern w:val="2"/>
          <w:sz w:val="32"/>
          <w:szCs w:val="36"/>
          <w:lang w:val="en-US" w:eastAsia="zh-CN" w:bidi="ar-SA"/>
        </w:rPr>
        <w:t>、省级</w:t>
      </w:r>
      <w:r>
        <w:rPr>
          <w:rFonts w:hint="eastAsia" w:ascii="仿宋_GB2312" w:hAnsi="Calibri" w:eastAsia="仿宋_GB2312" w:cs="Times New Roman"/>
          <w:color w:val="000000"/>
          <w:kern w:val="2"/>
          <w:sz w:val="32"/>
          <w:szCs w:val="36"/>
          <w:lang w:val="en-US" w:eastAsia="zh-CN" w:bidi="ar-SA"/>
        </w:rPr>
        <w:t>国有资本经营预算转移支付收入</w:t>
      </w:r>
      <w:r>
        <w:rPr>
          <w:rFonts w:hint="eastAsia" w:ascii="仿宋_GB2312" w:eastAsia="仿宋_GB2312" w:cs="Times New Roman"/>
          <w:color w:val="000000"/>
          <w:kern w:val="2"/>
          <w:sz w:val="32"/>
          <w:szCs w:val="36"/>
          <w:lang w:val="en-US" w:eastAsia="zh-CN" w:bidi="ar-SA"/>
        </w:rPr>
        <w:t>，</w:t>
      </w:r>
      <w:r>
        <w:rPr>
          <w:rFonts w:hint="eastAsia" w:ascii="仿宋_GB2312" w:hAnsi="Calibri" w:eastAsia="仿宋_GB2312" w:cs="Times New Roman"/>
          <w:color w:val="000000"/>
          <w:kern w:val="2"/>
          <w:sz w:val="32"/>
          <w:szCs w:val="36"/>
          <w:lang w:val="en-US" w:eastAsia="zh-CN" w:bidi="ar-SA"/>
        </w:rPr>
        <w:t>市县国有资本经营预算上解收入以及其他收入。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国有企业上缴的国有资本收益具体包括：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国有独资企业按照规定上缴利润。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国有控股（参股）企业分配的国有股权（股份）股息红利收入。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国有企业国有产权（含国有股份）转让收入。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国有独资企业清算收入（扣除清算费用），</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国有控股（参股）企业国有股权（股份）分享的公司清算收入（扣除清算费用）。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（五）</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国有企业上缴的其他国有资本收益。</w:t>
      </w:r>
      <w:r>
        <w:rPr>
          <w:rFonts w:hint="eastAsia" w:ascii="仿宋_GB2312" w:eastAsia="仿宋_GB2312" w:cs="Times New Roman"/>
          <w:color w:val="000000"/>
          <w:kern w:val="2"/>
          <w:sz w:val="32"/>
          <w:szCs w:val="36"/>
          <w:lang w:val="en-US" w:eastAsia="zh-CN" w:bidi="ar-SA"/>
        </w:rPr>
        <w:t>包括市委、市政府确定的特定事项或“一事一议”要求企业上缴的收入。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第十一条 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国有企业国有资本收益按以下规定收取：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国有独资企业按规定上缴利润，按</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确定的比例收取。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国有控股（参股）企业国有股权（股份）分配的股息红利收入，全额收取。</w:t>
      </w:r>
      <w:r>
        <w:rPr>
          <w:rFonts w:hint="eastAsia" w:ascii="仿宋_GB2312" w:hAnsi="Calibri" w:eastAsia="仿宋_GB2312" w:cs="Times New Roman"/>
          <w:color w:val="000000"/>
          <w:kern w:val="2"/>
          <w:sz w:val="32"/>
          <w:szCs w:val="36"/>
          <w:highlight w:val="yellow"/>
          <w:lang w:val="en-US" w:eastAsia="zh-CN" w:bidi="ar-SA"/>
        </w:rPr>
        <w:t>其中：公益二类事业单位持有的国有控股（参股）企业国有股权（股份）分配的股息红利参照同类独资企业上缴利润收入比例收取。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国有企业国有产权（股权）转让收入，全额收取。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国有独资企业清算收入（扣除清算费用）及</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国有控股（参股）企业国有股权（股份）分享的公司清算收入（扣除清算费用），全额收取。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（五）</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国有企业上缴的其他国有资本收益，据实申报，按相关规定收取。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第十二条</w:t>
      </w:r>
      <w:r>
        <w:rPr>
          <w:rFonts w:hint="eastAsia" w:ascii="仿宋_GB2312" w:hAnsi="Calibri" w:eastAsia="仿宋_GB2312" w:cs="Times New Roman"/>
          <w:color w:val="000000"/>
          <w:kern w:val="2"/>
          <w:sz w:val="32"/>
          <w:szCs w:val="36"/>
          <w:lang w:val="en-US" w:eastAsia="zh-CN" w:bidi="ar-SA"/>
        </w:rPr>
        <w:t> 经</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同意，可在按规定收取国有资本收益的基础上，向特定</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国有企业增加收取特别利润。具体方案由财政部门会同监管部门提出意见后报</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第十三条 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由于国家政策重大调整,或者遭受重大自然灾害等不可抗力因素造成巨大损失,要求减缴、免缴、缓缴国有资本收益的,应当向监管部门提交书面申请。监管部门审核提出意见报财政部门，财政部门研究提出意见报</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审批。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第十四条 </w:t>
      </w:r>
      <w:r>
        <w:rPr>
          <w:rFonts w:hint="eastAsia" w:ascii="仿宋_GB2312" w:hAnsi="Calibri" w:eastAsia="仿宋_GB2312" w:cs="Times New Roman"/>
          <w:color w:val="000000"/>
          <w:kern w:val="2"/>
          <w:sz w:val="32"/>
          <w:szCs w:val="36"/>
          <w:lang w:val="en-US" w:eastAsia="zh-CN" w:bidi="ar-SA"/>
        </w:rPr>
        <w:t>财政部门具体制定</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国有企业国有资本收益收缴管理办法。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第四章 预算支出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第十五条 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国有资本经营预算支出主要包括国有企业资本金注入、国有企业改革成本支出、转移性支出和其他支出，支出方向和重点根据国家宏观调控政策要求和</w:t>
      </w:r>
      <w:r>
        <w:rPr>
          <w:rFonts w:hint="eastAsia" w:ascii="仿宋_GB2312" w:eastAsia="仿宋_GB2312" w:cs="Times New Roman"/>
          <w:color w:val="000000"/>
          <w:kern w:val="2"/>
          <w:sz w:val="32"/>
          <w:szCs w:val="36"/>
          <w:lang w:val="en-US" w:eastAsia="zh-CN" w:bidi="ar-SA"/>
        </w:rPr>
        <w:t>市委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决策部署适时调整。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第十六条 </w:t>
      </w:r>
      <w:r>
        <w:rPr>
          <w:rFonts w:hint="eastAsia" w:ascii="仿宋_GB2312" w:hAnsi="Calibri" w:eastAsia="仿宋_GB2312" w:cs="Times New Roman"/>
          <w:color w:val="000000"/>
          <w:kern w:val="2"/>
          <w:sz w:val="32"/>
          <w:szCs w:val="36"/>
          <w:lang w:val="en-US" w:eastAsia="zh-CN" w:bidi="ar-SA"/>
        </w:rPr>
        <w:t>国有企业资本金注入，是指按照</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国有企业资本金动态补充要求，引导</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国有企业做强做优做大、推进国有资本布局优化和结构调整的资本性支出。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第十七条 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国有资本经营预算根据</w:t>
      </w:r>
      <w:r>
        <w:rPr>
          <w:rFonts w:hint="eastAsia" w:ascii="仿宋_GB2312" w:eastAsia="仿宋_GB2312" w:cs="Times New Roman"/>
          <w:color w:val="000000"/>
          <w:kern w:val="2"/>
          <w:sz w:val="32"/>
          <w:szCs w:val="36"/>
          <w:lang w:val="en-US" w:eastAsia="zh-CN" w:bidi="ar-SA"/>
        </w:rPr>
        <w:t>市委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国资国企改革决策部署，主要对特定支持企业、投资运营公司、重点骨干企业进行资本金注入。</w:t>
      </w:r>
      <w:r>
        <w:rPr>
          <w:rFonts w:hint="eastAsia" w:ascii="仿宋_GB2312" w:hAnsi="Calibri" w:eastAsia="仿宋_GB2312" w:cs="Times New Roman"/>
          <w:color w:val="000000"/>
          <w:kern w:val="2"/>
          <w:sz w:val="32"/>
          <w:szCs w:val="36"/>
          <w:highlight w:val="yellow"/>
          <w:lang w:val="en-US" w:eastAsia="zh-CN" w:bidi="ar-SA"/>
        </w:rPr>
        <w:t>监管部门商财政部门制定具体管理办法。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第十八条 </w:t>
      </w:r>
      <w:r>
        <w:rPr>
          <w:rFonts w:hint="eastAsia" w:ascii="仿宋_GB2312" w:hAnsi="Calibri" w:eastAsia="仿宋_GB2312" w:cs="Times New Roman"/>
          <w:color w:val="000000"/>
          <w:kern w:val="2"/>
          <w:sz w:val="32"/>
          <w:szCs w:val="36"/>
          <w:lang w:val="en-US" w:eastAsia="zh-CN" w:bidi="ar-SA"/>
        </w:rPr>
        <w:t>国有企业改革成本支出，是指用于分担</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国有企业改革成本、帮助国有企业解决历史遗留问题以及对</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国有企业政策性补贴等方面的费用性支出。</w:t>
      </w:r>
      <w:r>
        <w:rPr>
          <w:rFonts w:hint="eastAsia" w:ascii="仿宋_GB2312" w:hAnsi="Calibri" w:eastAsia="仿宋_GB2312" w:cs="Times New Roman"/>
          <w:color w:val="000000"/>
          <w:kern w:val="2"/>
          <w:sz w:val="32"/>
          <w:szCs w:val="36"/>
          <w:highlight w:val="yellow"/>
          <w:lang w:val="en-US" w:eastAsia="zh-CN" w:bidi="ar-SA"/>
        </w:rPr>
        <w:t>监管部门商财政部门制定具体管理办法。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highlight w:val="yellow"/>
          <w:lang w:val="en-US" w:eastAsia="zh-CN" w:bidi="ar-SA"/>
        </w:rPr>
      </w:pPr>
      <w:r>
        <w:rPr>
          <w:rFonts w:hint="eastAsia" w:ascii="黑体" w:hAnsi="Calibri" w:eastAsia="黑体" w:cstheme="minorBidi"/>
          <w:bCs/>
          <w:kern w:val="44"/>
          <w:sz w:val="32"/>
          <w:szCs w:val="44"/>
          <w:lang w:val="en-US" w:eastAsia="zh-CN" w:bidi="ar-SA"/>
        </w:rPr>
        <w:t>第十九条 </w:t>
      </w:r>
      <w:r>
        <w:rPr>
          <w:rFonts w:hint="eastAsia" w:ascii="仿宋_GB2312" w:hAnsi="Calibri" w:eastAsia="仿宋_GB2312" w:cs="Times New Roman"/>
          <w:color w:val="000000"/>
          <w:kern w:val="2"/>
          <w:sz w:val="32"/>
          <w:szCs w:val="36"/>
          <w:lang w:val="en-US" w:eastAsia="zh-CN" w:bidi="ar-SA"/>
        </w:rPr>
        <w:t>国有企业改革成本支出实行专项资金管理，</w:t>
      </w:r>
      <w:r>
        <w:rPr>
          <w:rFonts w:hint="eastAsia" w:ascii="仿宋_GB2312" w:hAnsi="Calibri" w:eastAsia="仿宋_GB2312" w:cs="Times New Roman"/>
          <w:color w:val="000000"/>
          <w:kern w:val="2"/>
          <w:sz w:val="32"/>
          <w:szCs w:val="36"/>
          <w:highlight w:val="yellow"/>
          <w:lang w:val="en-US" w:eastAsia="zh-CN" w:bidi="ar-SA"/>
        </w:rPr>
        <w:t>监管部门商财政部门制定具体管理办法。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第二十条 </w:t>
      </w:r>
      <w:r>
        <w:rPr>
          <w:rFonts w:hint="eastAsia" w:ascii="仿宋_GB2312" w:hAnsi="Calibri" w:eastAsia="仿宋_GB2312" w:cs="Times New Roman"/>
          <w:color w:val="000000"/>
          <w:kern w:val="2"/>
          <w:sz w:val="32"/>
          <w:szCs w:val="36"/>
          <w:lang w:val="en-US" w:eastAsia="zh-CN" w:bidi="ar-SA"/>
        </w:rPr>
        <w:t>转移性支出是指向一般公共预算调出资金、对下级国有资本经营预算转移支付以及向上级国有资本经营预算上解支出。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第二十一条 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国有资本经营预算依据国家政策规定和</w:t>
      </w:r>
      <w:r>
        <w:rPr>
          <w:rFonts w:hint="eastAsia" w:ascii="仿宋_GB2312" w:eastAsia="仿宋_GB2312" w:cs="Times New Roman"/>
          <w:color w:val="000000"/>
          <w:kern w:val="2"/>
          <w:sz w:val="32"/>
          <w:szCs w:val="36"/>
          <w:lang w:val="en-US" w:eastAsia="zh-CN" w:bidi="ar-SA"/>
        </w:rPr>
        <w:t>市委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工作要求，按照一定比例调入一般公共预算，统筹用于保障和改善民生。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第二十二条 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国有资本经营预算可根据国有企业改革发展需要，设立对市县财政的专项转移支付项目。</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国有资本经营预算专项转移支付的编制、分配、执行等参照</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一般公共预算专项转移支付相关办法办理。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第二十三条 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国有资本经营预算按照</w:t>
      </w:r>
      <w:r>
        <w:rPr>
          <w:rFonts w:hint="eastAsia" w:ascii="仿宋_GB2312" w:eastAsia="仿宋_GB2312" w:cs="Times New Roman"/>
          <w:color w:val="000000"/>
          <w:kern w:val="2"/>
          <w:sz w:val="32"/>
          <w:szCs w:val="36"/>
          <w:highlight w:val="yellow"/>
          <w:lang w:val="en-US" w:eastAsia="zh-CN" w:bidi="ar-SA"/>
        </w:rPr>
        <w:t>上级财政部门</w:t>
      </w:r>
      <w:r>
        <w:rPr>
          <w:rFonts w:hint="eastAsia" w:ascii="仿宋_GB2312" w:hAnsi="Calibri" w:eastAsia="仿宋_GB2312" w:cs="Times New Roman"/>
          <w:color w:val="000000"/>
          <w:kern w:val="2"/>
          <w:sz w:val="32"/>
          <w:szCs w:val="36"/>
          <w:lang w:val="en-US" w:eastAsia="zh-CN" w:bidi="ar-SA"/>
        </w:rPr>
        <w:t>要求安排上解支出。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第五章 预算编制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第二十四条 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国有资本经营预算按年度编制，并按规定编制</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国有资本经营预算中期收支规划。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 xml:space="preserve">第二十五条 </w:t>
      </w:r>
      <w:r>
        <w:rPr>
          <w:rFonts w:hint="eastAsia" w:ascii="仿宋_GB2312" w:hAnsi="Calibri" w:eastAsia="仿宋_GB2312" w:cs="Times New Roman"/>
          <w:color w:val="000000"/>
          <w:kern w:val="2"/>
          <w:sz w:val="32"/>
          <w:szCs w:val="36"/>
          <w:lang w:val="en-US" w:eastAsia="zh-CN" w:bidi="ar-SA"/>
        </w:rPr>
        <w:t>编制</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国有资本经营预算草案的依据：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（一）《中华人民共和国预算法》及其实施条例。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（二）国家宏观调控政策以及</w:t>
      </w:r>
      <w:r>
        <w:rPr>
          <w:rFonts w:hint="eastAsia" w:ascii="仿宋_GB2312" w:eastAsia="仿宋_GB2312" w:cs="Times New Roman"/>
          <w:color w:val="000000"/>
          <w:kern w:val="2"/>
          <w:sz w:val="32"/>
          <w:szCs w:val="36"/>
          <w:lang w:val="en-US" w:eastAsia="zh-CN" w:bidi="ar-SA"/>
        </w:rPr>
        <w:t>市委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国有经济布局优化和结构调整要求。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国有资本经营预算支出方向和重点。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（四）</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国有资本经营预算中期收支规划。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（五）财政部门年度预算编制规定。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（六）上年度</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国有资本经营预算绩效结果。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（七）存量资产和结余资金情况。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（八）其他有关政策规定。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第二十六条 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国有资本经营预算收入由财政部门会同监管部门根据企业年度盈利状况和</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国有资本收益收取政策测算编制。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第二十七条 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国有资本经营预算支出按照以下程序编制：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（一）财政部门按照</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编制预算的统一要求，根据</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国有资本经营预算支出政策，</w:t>
      </w:r>
      <w:r>
        <w:rPr>
          <w:rFonts w:hint="eastAsia" w:ascii="仿宋_GB2312" w:hAnsi="Calibri" w:eastAsia="仿宋_GB2312" w:cs="Times New Roman"/>
          <w:color w:val="000000"/>
          <w:kern w:val="2"/>
          <w:sz w:val="32"/>
          <w:szCs w:val="36"/>
          <w:highlight w:val="yellow"/>
          <w:lang w:val="en-US" w:eastAsia="zh-CN" w:bidi="ar-SA"/>
        </w:rPr>
        <w:t>印发编制通知。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（二）监管部门根据财政部门编报要求，按照资本金注入和改革成本支出相关管理办法规定，结合本部门监管企业改革和发展推进情况、以前年度预算绩效结果等情况，编制预算草案报送财政部门。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仿宋_GB2312" w:hAnsi="Calibri" w:eastAsia="仿宋_GB2312" w:cs="Times New Roman"/>
          <w:color w:val="000000"/>
          <w:kern w:val="2"/>
          <w:sz w:val="32"/>
          <w:szCs w:val="36"/>
          <w:lang w:val="en-US" w:eastAsia="zh-CN" w:bidi="ar-SA"/>
        </w:rPr>
        <w:t>（三）财政部门根据当年预算收入规模、监管部门预算支出建议草案进行统筹平衡后，编制</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国有资本经营预算草案。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第二十八条 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国有资本经营预算草案按程序报</w:t>
      </w:r>
      <w:r>
        <w:rPr>
          <w:rFonts w:hint="eastAsia" w:ascii="仿宋_GB2312" w:eastAsia="仿宋_GB2312" w:cs="Times New Roman"/>
          <w:color w:val="000000"/>
          <w:kern w:val="2"/>
          <w:sz w:val="32"/>
          <w:szCs w:val="36"/>
          <w:lang w:val="en-US" w:eastAsia="zh-CN" w:bidi="ar-SA"/>
        </w:rPr>
        <w:t>市委</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审议后，提交</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人民代表大会审查和批准。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第二十九条 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国有资本经营预算经</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人民代表大会批准后，财政部门应当在二十日内向有关监管部门批复预算，并向社会公开。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国有资本经营预算收入应当编列到一级企业；</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国有资本经营预算支出按其功能分类应当编制到项。</w:t>
      </w: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第六章  预算执行和调整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第三十一条 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国有资本经营预算收入由财政部门按照法律法规和本办法规定监缴，监管部门负责组织监管企业解缴。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第三十二条 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国有企业应当依照法律法规和企业章程规定，向出资人分配利润。</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国有企业按规定应上缴的国有资本收益，应当及时足额上缴</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财政。未经</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同意，任何部门和单位不得擅自减缴、免缴、缓缴</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国有资本经营预算收入。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第三十三条 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国有资本经营预算支出应当按照预算批复严格执行，未经批准不得擅自调整。</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国有资本经营预算确需调整的，由财政部门按照《中华人民共和国预算法》及其实施条例有关规定办理。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第三十四条 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国有资本经营预算资金收付按照国库集中收付制度有关规定执行。</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国有企业改变产权归属或财务隶属关系的，监管部门应当及时报告财政部门。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第三十五条 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国有企业应当按照《中华人民共和国公司法》以及国家财务会计制度规定，合法合规使用</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国有资本经营预算资金，规范账务处理。用于资本金注入的资金，还应做好公司章程修订、工商变更登记等，落实国有权益。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第三十六条 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国有资本经营预算年度执行中有超收收入的，应当在下一年度安排使用；出现短收的，应当通过减少支出实现收支平衡。</w:t>
      </w:r>
      <w:r>
        <w:rPr>
          <w:rFonts w:hint="eastAsia" w:ascii="仿宋_GB2312" w:hAnsi="Calibri" w:eastAsia="仿宋_GB2312" w:cs="Times New Roman"/>
          <w:color w:val="000000"/>
          <w:kern w:val="2"/>
          <w:sz w:val="32"/>
          <w:szCs w:val="36"/>
          <w:highlight w:val="yellow"/>
          <w:lang w:val="en-US" w:eastAsia="zh-CN" w:bidi="ar-SA"/>
        </w:rPr>
        <w:t>国务院另有规定的除外。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第七章 绩效管理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第三十七条</w:t>
      </w:r>
      <w:r>
        <w:rPr>
          <w:rFonts w:hint="eastAsia" w:ascii="仿宋_GB2312" w:hAnsi="Calibri" w:eastAsia="仿宋_GB2312" w:cs="Times New Roman"/>
          <w:color w:val="000000"/>
          <w:kern w:val="2"/>
          <w:sz w:val="32"/>
          <w:szCs w:val="36"/>
          <w:lang w:val="en-US" w:eastAsia="zh-CN" w:bidi="ar-SA"/>
        </w:rPr>
        <w:t>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国有资本经营预算实施全过程预算绩效管理，重点关注贯彻国家战略、收益上缴、支出结构、使用效果等情况。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第三十八条</w:t>
      </w:r>
      <w:r>
        <w:rPr>
          <w:rFonts w:hint="eastAsia" w:ascii="仿宋_GB2312" w:hAnsi="Calibri" w:eastAsia="仿宋_GB2312" w:cs="Times New Roman"/>
          <w:color w:val="000000"/>
          <w:kern w:val="2"/>
          <w:sz w:val="32"/>
          <w:szCs w:val="36"/>
          <w:lang w:val="en-US" w:eastAsia="zh-CN" w:bidi="ar-SA"/>
        </w:rPr>
        <w:t>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国有企业应当围绕成本、产出、效益等方面设定</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国有资本经营预算绩效目标。监管部门应当加强绩效目标审核，将绩效目标设置作为预算申请的前置条件。财政部门下达预算时同步下达绩效目标标。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第三十九条 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国有企业按照规定对绩效目标实现程度开展绩效监控，发现问题及时纠正</w:t>
      </w:r>
      <w:r>
        <w:rPr>
          <w:rFonts w:hint="eastAsia" w:ascii="仿宋_GB2312" w:eastAsia="仿宋_GB2312" w:cs="Times New Roman"/>
          <w:color w:val="000000"/>
          <w:kern w:val="2"/>
          <w:sz w:val="32"/>
          <w:szCs w:val="36"/>
          <w:lang w:val="en-US" w:eastAsia="zh-CN" w:bidi="ar-SA"/>
        </w:rPr>
        <w:t>。</w:t>
      </w:r>
      <w:r>
        <w:rPr>
          <w:rFonts w:hint="eastAsia" w:ascii="仿宋_GB2312" w:hAnsi="Calibri" w:eastAsia="仿宋_GB2312" w:cs="Times New Roman"/>
          <w:color w:val="000000"/>
          <w:kern w:val="2"/>
          <w:sz w:val="32"/>
          <w:szCs w:val="36"/>
          <w:lang w:val="en-US" w:eastAsia="zh-CN" w:bidi="ar-SA"/>
        </w:rPr>
        <w:t>财政部门、监管部门根据需要组织实施重点绩效监控。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国有企业对照绩效目标开展绩效自评，自评结果经监管部门审核后报财政部门。财政部门、监管部门根据需要对自评结果进行抽查复核，必要时开展重点绩效评价。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第四十一条 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国有资本经营预算绩效结果作为加强预算管理及安排以后年度预算支出的重要依据。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第八章 决算编制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第四十二条 </w:t>
      </w:r>
      <w:r>
        <w:rPr>
          <w:rFonts w:hint="eastAsia" w:ascii="仿宋_GB2312" w:hAnsi="Calibri" w:eastAsia="仿宋_GB2312" w:cs="Times New Roman"/>
          <w:color w:val="000000"/>
          <w:kern w:val="2"/>
          <w:sz w:val="32"/>
          <w:szCs w:val="36"/>
          <w:lang w:val="en-US" w:eastAsia="zh-CN" w:bidi="ar-SA"/>
        </w:rPr>
        <w:t>财政部门按照编制决算的统一要求，部署编制</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国有资本经营决算草案工作。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第四十三条 </w:t>
      </w:r>
      <w:r>
        <w:rPr>
          <w:rFonts w:hint="eastAsia" w:ascii="仿宋_GB2312" w:hAnsi="Calibri" w:eastAsia="仿宋_GB2312" w:cs="Times New Roman"/>
          <w:color w:val="000000"/>
          <w:kern w:val="2"/>
          <w:sz w:val="32"/>
          <w:szCs w:val="36"/>
          <w:lang w:val="en-US" w:eastAsia="zh-CN" w:bidi="ar-SA"/>
        </w:rPr>
        <w:t>年度终了，</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国有企业应向监管部门报送本企业</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国有资本经营预算执行情况，监管部门审核汇总后向财政部门报告。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第四十四条 </w:t>
      </w:r>
      <w:r>
        <w:rPr>
          <w:rFonts w:hint="eastAsia" w:ascii="仿宋_GB2312" w:hAnsi="Calibri" w:eastAsia="仿宋_GB2312" w:cs="Times New Roman"/>
          <w:color w:val="000000"/>
          <w:kern w:val="2"/>
          <w:sz w:val="32"/>
          <w:szCs w:val="36"/>
          <w:lang w:val="en-US" w:eastAsia="zh-CN" w:bidi="ar-SA"/>
        </w:rPr>
        <w:t>财政部门根据当年</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国有资本经营预算执行情况，编制</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国有资本经营决算草案，</w:t>
      </w:r>
      <w:r>
        <w:rPr>
          <w:rFonts w:hint="eastAsia" w:ascii="仿宋_GB2312" w:hAnsi="Calibri" w:eastAsia="仿宋_GB2312" w:cs="Times New Roman"/>
          <w:color w:val="000000"/>
          <w:kern w:val="2"/>
          <w:sz w:val="32"/>
          <w:szCs w:val="36"/>
          <w:highlight w:val="yellow"/>
          <w:lang w:val="en-US" w:eastAsia="zh-CN" w:bidi="ar-SA"/>
        </w:rPr>
        <w:t>经审计部门审计后，</w:t>
      </w:r>
      <w:r>
        <w:rPr>
          <w:rFonts w:hint="eastAsia" w:ascii="仿宋_GB2312" w:hAnsi="Calibri" w:eastAsia="仿宋_GB2312" w:cs="Times New Roman"/>
          <w:color w:val="000000"/>
          <w:kern w:val="2"/>
          <w:sz w:val="32"/>
          <w:szCs w:val="36"/>
          <w:lang w:val="en-US" w:eastAsia="zh-CN" w:bidi="ar-SA"/>
        </w:rPr>
        <w:t>报</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审定，由</w:t>
      </w:r>
      <w:r>
        <w:rPr>
          <w:rFonts w:hint="eastAsia" w:ascii="仿宋_GB2312" w:eastAsia="仿宋_GB2312" w:cs="Times New Roman"/>
          <w:color w:val="000000"/>
          <w:kern w:val="2"/>
          <w:sz w:val="32"/>
          <w:szCs w:val="36"/>
          <w:lang w:val="en-US" w:eastAsia="zh-CN" w:bidi="ar-SA"/>
        </w:rPr>
        <w:t>市政府</w:t>
      </w:r>
      <w:r>
        <w:rPr>
          <w:rFonts w:hint="eastAsia" w:ascii="仿宋_GB2312" w:hAnsi="Calibri" w:eastAsia="仿宋_GB2312" w:cs="Times New Roman"/>
          <w:color w:val="000000"/>
          <w:kern w:val="2"/>
          <w:sz w:val="32"/>
          <w:szCs w:val="36"/>
          <w:lang w:val="en-US" w:eastAsia="zh-CN" w:bidi="ar-SA"/>
        </w:rPr>
        <w:t>提请</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人民代表大会常务委员会审查和批准。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第四十五条 </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国有资本经营决算草案经</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人民代表大会常务委员会批准后，财政部门应当在二十日内向社会公开。 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第九章 监督检查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第四十六条 </w:t>
      </w:r>
      <w:r>
        <w:rPr>
          <w:rFonts w:hint="eastAsia" w:ascii="仿宋_GB2312" w:hAnsi="Calibri" w:eastAsia="仿宋_GB2312" w:cs="Times New Roman"/>
          <w:color w:val="000000"/>
          <w:kern w:val="2"/>
          <w:sz w:val="32"/>
          <w:szCs w:val="36"/>
          <w:lang w:val="en-US" w:eastAsia="zh-CN" w:bidi="ar-SA"/>
        </w:rPr>
        <w:t>财政部门、监管部门和</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国有企业应当依法接受</w:t>
      </w:r>
      <w:r>
        <w:rPr>
          <w:rFonts w:hint="eastAsia" w:ascii="仿宋_GB2312" w:eastAsia="仿宋_GB2312" w:cs="Times New Roman"/>
          <w:color w:val="000000"/>
          <w:kern w:val="2"/>
          <w:sz w:val="32"/>
          <w:szCs w:val="36"/>
          <w:lang w:val="en-US" w:eastAsia="zh-CN" w:bidi="ar-SA"/>
        </w:rPr>
        <w:t>市</w:t>
      </w:r>
      <w:r>
        <w:rPr>
          <w:rFonts w:hint="eastAsia" w:ascii="仿宋_GB2312" w:hAnsi="Calibri" w:eastAsia="仿宋_GB2312" w:cs="Times New Roman"/>
          <w:color w:val="000000"/>
          <w:kern w:val="2"/>
          <w:sz w:val="32"/>
          <w:szCs w:val="36"/>
          <w:lang w:val="en-US" w:eastAsia="zh-CN" w:bidi="ar-SA"/>
        </w:rPr>
        <w:t>人民代表大会及其常务委员会对国有资本经营预算执行情况和决算的监督。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第四十七条 </w:t>
      </w:r>
      <w:r>
        <w:rPr>
          <w:rFonts w:hint="eastAsia" w:ascii="仿宋_GB2312" w:hAnsi="Calibri" w:eastAsia="仿宋_GB2312" w:cs="Times New Roman"/>
          <w:color w:val="000000"/>
          <w:kern w:val="2"/>
          <w:sz w:val="32"/>
          <w:szCs w:val="36"/>
          <w:lang w:val="en-US" w:eastAsia="zh-CN" w:bidi="ar-SA"/>
        </w:rPr>
        <w:t>审计部门按照《中华人民共和国审计法》《中华人民共和国预算法》等规定，对</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国有资本经营预算执行情况和决算草案进行审计监督。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第四十八条 </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国有企业应当遵守国家财务规章制度和财经纪律，及时足额上缴国有资本收益，严格规范使用国有资本经营预算支出资金，自觉接受财政部门和监管部门的监督检查。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第四十九条 </w:t>
      </w:r>
      <w:r>
        <w:rPr>
          <w:rFonts w:hint="eastAsia" w:ascii="仿宋_GB2312" w:hAnsi="Calibri" w:eastAsia="仿宋_GB2312" w:cs="Times New Roman"/>
          <w:color w:val="000000"/>
          <w:kern w:val="2"/>
          <w:sz w:val="32"/>
          <w:szCs w:val="36"/>
          <w:lang w:val="en-US" w:eastAsia="zh-CN" w:bidi="ar-SA"/>
        </w:rPr>
        <w:t>监管部门应将企业上缴国有资本收益和使用国有资本经营预算资金情况纳入企业负责人经营业绩考核，与负责人薪酬挂钩。</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国有企业不按规定上缴国有资本收益和使用国有资本经营预算支出资金的，财政部门、监管部门按规定采取约谈整改、通报批评、扣减考核得分、移送有权机关等措施予以处理。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第五十条 </w:t>
      </w:r>
      <w:r>
        <w:rPr>
          <w:rFonts w:hint="eastAsia" w:ascii="仿宋_GB2312" w:hAnsi="Calibri" w:eastAsia="仿宋_GB2312" w:cs="Times New Roman"/>
          <w:color w:val="000000"/>
          <w:kern w:val="2"/>
          <w:sz w:val="32"/>
          <w:szCs w:val="36"/>
          <w:lang w:val="en-US" w:eastAsia="zh-CN" w:bidi="ar-SA"/>
        </w:rPr>
        <w:t>财政部门、监管部门应当加强对</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国有资本经营预算事前、事中、事后的全过程管理，并依法公开，接受社会监督。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第五十一条 </w:t>
      </w:r>
      <w:r>
        <w:rPr>
          <w:rFonts w:hint="eastAsia" w:ascii="仿宋_GB2312" w:hAnsi="Calibri" w:eastAsia="仿宋_GB2312" w:cs="Times New Roman"/>
          <w:color w:val="000000"/>
          <w:kern w:val="2"/>
          <w:sz w:val="32"/>
          <w:szCs w:val="36"/>
          <w:lang w:val="en-US" w:eastAsia="zh-CN" w:bidi="ar-SA"/>
        </w:rPr>
        <w:t>对</w:t>
      </w:r>
      <w:r>
        <w:rPr>
          <w:rFonts w:hint="eastAsia" w:ascii="仿宋_GB2312" w:eastAsia="仿宋_GB2312" w:cs="Times New Roman"/>
          <w:color w:val="000000"/>
          <w:kern w:val="2"/>
          <w:sz w:val="32"/>
          <w:szCs w:val="36"/>
          <w:lang w:val="en-US" w:eastAsia="zh-CN" w:bidi="ar-SA"/>
        </w:rPr>
        <w:t>市级</w:t>
      </w:r>
      <w:r>
        <w:rPr>
          <w:rFonts w:hint="eastAsia" w:ascii="仿宋_GB2312" w:hAnsi="Calibri" w:eastAsia="仿宋_GB2312" w:cs="Times New Roman"/>
          <w:color w:val="000000"/>
          <w:kern w:val="2"/>
          <w:sz w:val="32"/>
          <w:szCs w:val="36"/>
          <w:lang w:val="en-US" w:eastAsia="zh-CN" w:bidi="ar-SA"/>
        </w:rPr>
        <w:t>国有资本经营预算管理存在违法违纪行为的，按照《中华人民共和国预算法》《中华人民共和国监察法》《中华人民共和国公职人员政务处分法》《财政违法行为处罚处分条例》等法律法规规定处理。涉嫌犯罪的，移送有权机关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pStyle w:val="2"/>
        <w:keepNext w:val="0"/>
        <w:keepLines w:val="0"/>
        <w:pageBreakBefore w:val="0"/>
        <w:widowControl w:val="0"/>
        <w:kinsoku/>
        <w:wordWrap/>
        <w:overflowPunct/>
        <w:autoSpaceDE/>
        <w:autoSpaceDN/>
        <w:bidi w:val="0"/>
        <w:adjustRightInd w:val="0"/>
        <w:snapToGrid w:val="0"/>
        <w:spacing w:line="580" w:lineRule="exact"/>
        <w:ind w:firstLine="640" w:firstLineChars="200"/>
        <w:jc w:val="center"/>
        <w:textAlignment w:val="auto"/>
        <w:rPr>
          <w:rFonts w:hint="eastAsia"/>
          <w:sz w:val="32"/>
          <w:lang w:val="en-US" w:eastAsia="zh-CN"/>
        </w:rPr>
      </w:pPr>
      <w:r>
        <w:rPr>
          <w:rFonts w:hint="eastAsia"/>
          <w:sz w:val="32"/>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第五十二条 </w:t>
      </w:r>
      <w:r>
        <w:rPr>
          <w:rFonts w:hint="eastAsia" w:ascii="仿宋_GB2312" w:eastAsia="仿宋_GB2312" w:cs="Times New Roman"/>
          <w:color w:val="000000"/>
          <w:kern w:val="2"/>
          <w:sz w:val="32"/>
          <w:szCs w:val="36"/>
          <w:highlight w:val="green"/>
          <w:lang w:val="en-US" w:eastAsia="zh-CN" w:bidi="ar-SA"/>
        </w:rPr>
        <w:t>县（市、区）</w:t>
      </w:r>
      <w:r>
        <w:rPr>
          <w:rFonts w:hint="eastAsia" w:ascii="仿宋_GB2312" w:hAnsi="Calibri" w:eastAsia="仿宋_GB2312" w:cs="Times New Roman"/>
          <w:color w:val="000000"/>
          <w:kern w:val="2"/>
          <w:sz w:val="32"/>
          <w:szCs w:val="36"/>
          <w:highlight w:val="green"/>
          <w:lang w:val="en-US" w:eastAsia="zh-CN" w:bidi="ar-SA"/>
        </w:rPr>
        <w:t>国有资本经营预算管理办法由</w:t>
      </w:r>
      <w:r>
        <w:rPr>
          <w:rFonts w:hint="eastAsia" w:ascii="仿宋_GB2312" w:eastAsia="仿宋_GB2312" w:cs="Times New Roman"/>
          <w:color w:val="000000"/>
          <w:kern w:val="2"/>
          <w:sz w:val="32"/>
          <w:szCs w:val="36"/>
          <w:highlight w:val="green"/>
          <w:lang w:val="en-US" w:eastAsia="zh-CN" w:bidi="ar-SA"/>
        </w:rPr>
        <w:t>县（市、区）</w:t>
      </w:r>
      <w:r>
        <w:rPr>
          <w:rFonts w:hint="eastAsia" w:ascii="仿宋_GB2312" w:hAnsi="Calibri" w:eastAsia="仿宋_GB2312" w:cs="Times New Roman"/>
          <w:color w:val="000000"/>
          <w:kern w:val="2"/>
          <w:sz w:val="32"/>
          <w:szCs w:val="36"/>
          <w:highlight w:val="green"/>
          <w:lang w:val="en-US" w:eastAsia="zh-CN" w:bidi="ar-SA"/>
        </w:rPr>
        <w:t>参照本办法制定。</w:t>
      </w:r>
      <w:r>
        <w:rPr>
          <w:rFonts w:hint="eastAsia" w:ascii="仿宋_GB2312" w:hAnsi="Calibri" w:eastAsia="仿宋_GB2312" w:cs="Times New Roman"/>
          <w:color w:val="000000"/>
          <w:kern w:val="2"/>
          <w:sz w:val="32"/>
          <w:szCs w:val="36"/>
          <w:lang w:val="en-US" w:eastAsia="zh-CN" w:bidi="ar-SA"/>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第五十三条 </w:t>
      </w:r>
      <w:r>
        <w:rPr>
          <w:rFonts w:hint="eastAsia" w:ascii="仿宋_GB2312" w:hAnsi="Calibri" w:eastAsia="仿宋_GB2312" w:cs="Times New Roman"/>
          <w:color w:val="000000"/>
          <w:kern w:val="2"/>
          <w:sz w:val="32"/>
          <w:szCs w:val="36"/>
          <w:lang w:val="en-US" w:eastAsia="zh-CN" w:bidi="ar-SA"/>
        </w:rPr>
        <w:t>涉及划转部分国有资本充实社保基金的</w:t>
      </w:r>
      <w:r>
        <w:rPr>
          <w:rFonts w:hint="eastAsia" w:ascii="仿宋_GB2312" w:eastAsia="仿宋_GB2312" w:cs="Times New Roman"/>
          <w:color w:val="000000"/>
          <w:kern w:val="2"/>
          <w:sz w:val="32"/>
          <w:szCs w:val="36"/>
          <w:lang w:val="en-US" w:eastAsia="zh-CN" w:bidi="ar-SA"/>
        </w:rPr>
        <w:t>市属</w:t>
      </w:r>
      <w:r>
        <w:rPr>
          <w:rFonts w:hint="eastAsia" w:ascii="仿宋_GB2312" w:hAnsi="Calibri" w:eastAsia="仿宋_GB2312" w:cs="Times New Roman"/>
          <w:color w:val="000000"/>
          <w:kern w:val="2"/>
          <w:sz w:val="32"/>
          <w:szCs w:val="36"/>
          <w:lang w:val="en-US" w:eastAsia="zh-CN" w:bidi="ar-SA"/>
        </w:rPr>
        <w:t>国有企业，向社保基金分配的划转股权收益，单独核算，不纳入国有资本经营预算。划转前为国有独资企业的，继续按国有独资企业方式申报上缴利润，向社保基金分配收益根据持股比例从应缴利润中计提。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第五十四条 </w:t>
      </w:r>
      <w:r>
        <w:rPr>
          <w:rFonts w:hint="eastAsia" w:ascii="仿宋_GB2312" w:hAnsi="Calibri" w:eastAsia="仿宋_GB2312" w:cs="Times New Roman"/>
          <w:color w:val="000000"/>
          <w:kern w:val="2"/>
          <w:sz w:val="32"/>
          <w:szCs w:val="36"/>
          <w:lang w:val="en-US" w:eastAsia="zh-CN" w:bidi="ar-SA"/>
        </w:rPr>
        <w:t>本办法由</w:t>
      </w:r>
      <w:r>
        <w:rPr>
          <w:rFonts w:hint="eastAsia" w:ascii="仿宋_GB2312" w:eastAsia="仿宋_GB2312" w:cs="Times New Roman"/>
          <w:color w:val="000000"/>
          <w:kern w:val="2"/>
          <w:sz w:val="32"/>
          <w:szCs w:val="36"/>
          <w:lang w:val="en-US" w:eastAsia="zh-CN" w:bidi="ar-SA"/>
        </w:rPr>
        <w:t>市财政局</w:t>
      </w:r>
      <w:r>
        <w:rPr>
          <w:rFonts w:hint="eastAsia" w:ascii="仿宋_GB2312" w:hAnsi="Calibri" w:eastAsia="仿宋_GB2312" w:cs="Times New Roman"/>
          <w:color w:val="000000"/>
          <w:kern w:val="2"/>
          <w:sz w:val="32"/>
          <w:szCs w:val="36"/>
          <w:lang w:val="en-US" w:eastAsia="zh-CN" w:bidi="ar-SA"/>
        </w:rPr>
        <w:t>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cs="Times New Roman"/>
          <w:color w:val="000000"/>
          <w:kern w:val="2"/>
          <w:sz w:val="32"/>
          <w:szCs w:val="36"/>
          <w:lang w:val="en-US" w:eastAsia="zh-CN" w:bidi="ar-SA"/>
        </w:rPr>
      </w:pPr>
      <w:r>
        <w:rPr>
          <w:rFonts w:hint="eastAsia" w:ascii="黑体" w:hAnsi="Calibri" w:eastAsia="黑体" w:cstheme="minorBidi"/>
          <w:bCs/>
          <w:kern w:val="44"/>
          <w:sz w:val="32"/>
          <w:szCs w:val="44"/>
          <w:lang w:val="en-US" w:eastAsia="zh-CN" w:bidi="ar-SA"/>
        </w:rPr>
        <w:t>第五十五条 </w:t>
      </w:r>
      <w:r>
        <w:rPr>
          <w:rFonts w:hint="eastAsia" w:ascii="仿宋_GB2312" w:hAnsi="Calibri" w:eastAsia="仿宋_GB2312" w:cs="Times New Roman"/>
          <w:color w:val="000000"/>
          <w:kern w:val="2"/>
          <w:sz w:val="32"/>
          <w:szCs w:val="36"/>
          <w:lang w:val="en-US" w:eastAsia="zh-CN" w:bidi="ar-SA"/>
        </w:rPr>
        <w:t>本办法202</w:t>
      </w:r>
      <w:r>
        <w:rPr>
          <w:rFonts w:hint="eastAsia" w:ascii="仿宋_GB2312" w:eastAsia="仿宋_GB2312" w:cs="Times New Roman"/>
          <w:color w:val="000000"/>
          <w:kern w:val="2"/>
          <w:sz w:val="32"/>
          <w:szCs w:val="36"/>
          <w:lang w:val="en-US" w:eastAsia="zh-CN" w:bidi="ar-SA"/>
        </w:rPr>
        <w:t>5</w:t>
      </w:r>
      <w:r>
        <w:rPr>
          <w:rFonts w:hint="eastAsia" w:ascii="仿宋_GB2312" w:hAnsi="Calibri" w:eastAsia="仿宋_GB2312" w:cs="Times New Roman"/>
          <w:color w:val="000000"/>
          <w:kern w:val="2"/>
          <w:sz w:val="32"/>
          <w:szCs w:val="36"/>
          <w:lang w:val="en-US" w:eastAsia="zh-CN" w:bidi="ar-SA"/>
        </w:rPr>
        <w:t>年</w:t>
      </w:r>
      <w:r>
        <w:rPr>
          <w:rFonts w:hint="eastAsia" w:ascii="仿宋_GB2312" w:eastAsia="仿宋_GB2312" w:cs="Times New Roman"/>
          <w:color w:val="000000"/>
          <w:kern w:val="2"/>
          <w:sz w:val="32"/>
          <w:szCs w:val="36"/>
          <w:lang w:val="en-US" w:eastAsia="zh-CN" w:bidi="ar-SA"/>
        </w:rPr>
        <w:t>X</w:t>
      </w:r>
      <w:r>
        <w:rPr>
          <w:rFonts w:hint="eastAsia" w:ascii="仿宋_GB2312" w:hAnsi="Calibri" w:eastAsia="仿宋_GB2312" w:cs="Times New Roman"/>
          <w:color w:val="000000"/>
          <w:kern w:val="2"/>
          <w:sz w:val="32"/>
          <w:szCs w:val="36"/>
          <w:lang w:val="en-US" w:eastAsia="zh-CN" w:bidi="ar-SA"/>
        </w:rPr>
        <w:t>月</w:t>
      </w:r>
      <w:r>
        <w:rPr>
          <w:rFonts w:hint="eastAsia" w:ascii="仿宋_GB2312" w:eastAsia="仿宋_GB2312" w:cs="Times New Roman"/>
          <w:color w:val="000000"/>
          <w:kern w:val="2"/>
          <w:sz w:val="32"/>
          <w:szCs w:val="36"/>
          <w:lang w:val="en-US" w:eastAsia="zh-CN" w:bidi="ar-SA"/>
        </w:rPr>
        <w:t>X</w:t>
      </w:r>
      <w:r>
        <w:rPr>
          <w:rFonts w:hint="eastAsia" w:ascii="仿宋_GB2312" w:hAnsi="Calibri" w:eastAsia="仿宋_GB2312" w:cs="Times New Roman"/>
          <w:color w:val="000000"/>
          <w:kern w:val="2"/>
          <w:sz w:val="32"/>
          <w:szCs w:val="36"/>
          <w:lang w:val="en-US" w:eastAsia="zh-CN" w:bidi="ar-SA"/>
        </w:rPr>
        <w:t>日起施行，有效期五年。原《</w:t>
      </w:r>
      <w:r>
        <w:rPr>
          <w:rFonts w:hint="eastAsia" w:ascii="仿宋_GB2312" w:eastAsia="仿宋_GB2312" w:cs="Times New Roman"/>
          <w:color w:val="000000"/>
          <w:kern w:val="2"/>
          <w:sz w:val="32"/>
          <w:szCs w:val="36"/>
          <w:lang w:val="en-US" w:eastAsia="zh-CN" w:bidi="ar-SA"/>
        </w:rPr>
        <w:t>乐山市市级</w:t>
      </w:r>
      <w:r>
        <w:rPr>
          <w:rFonts w:hint="eastAsia" w:ascii="仿宋_GB2312" w:hAnsi="Calibri" w:eastAsia="仿宋_GB2312" w:cs="Times New Roman"/>
          <w:color w:val="000000"/>
          <w:kern w:val="2"/>
          <w:sz w:val="32"/>
          <w:szCs w:val="36"/>
          <w:lang w:val="en-US" w:eastAsia="zh-CN" w:bidi="ar-SA"/>
        </w:rPr>
        <w:t>国有资本经营预算管理办法》（</w:t>
      </w:r>
      <w:r>
        <w:rPr>
          <w:rFonts w:hint="eastAsia" w:ascii="仿宋_GB2312" w:eastAsia="仿宋_GB2312" w:cs="Times New Roman"/>
          <w:color w:val="000000"/>
          <w:kern w:val="2"/>
          <w:sz w:val="32"/>
          <w:szCs w:val="36"/>
          <w:lang w:val="en-US" w:eastAsia="zh-CN" w:bidi="ar-SA"/>
        </w:rPr>
        <w:t>乐市财政企</w:t>
      </w:r>
      <w:r>
        <w:rPr>
          <w:rFonts w:hint="eastAsia" w:ascii="仿宋_GB2312" w:hAnsi="Calibri" w:eastAsia="仿宋_GB2312" w:cs="Times New Roman"/>
          <w:color w:val="000000"/>
          <w:kern w:val="2"/>
          <w:sz w:val="32"/>
          <w:szCs w:val="36"/>
          <w:lang w:val="en-US" w:eastAsia="zh-CN" w:bidi="ar-SA"/>
        </w:rPr>
        <w:t>〔201</w:t>
      </w:r>
      <w:r>
        <w:rPr>
          <w:rFonts w:hint="eastAsia" w:ascii="仿宋_GB2312" w:eastAsia="仿宋_GB2312" w:cs="Times New Roman"/>
          <w:color w:val="000000"/>
          <w:kern w:val="2"/>
          <w:sz w:val="32"/>
          <w:szCs w:val="36"/>
          <w:lang w:val="en-US" w:eastAsia="zh-CN" w:bidi="ar-SA"/>
        </w:rPr>
        <w:t>8</w:t>
      </w:r>
      <w:r>
        <w:rPr>
          <w:rFonts w:hint="eastAsia" w:ascii="仿宋_GB2312" w:hAnsi="Calibri" w:eastAsia="仿宋_GB2312" w:cs="Times New Roman"/>
          <w:color w:val="000000"/>
          <w:kern w:val="2"/>
          <w:sz w:val="32"/>
          <w:szCs w:val="36"/>
          <w:lang w:val="en-US" w:eastAsia="zh-CN" w:bidi="ar-SA"/>
        </w:rPr>
        <w:t>〕</w:t>
      </w:r>
      <w:r>
        <w:rPr>
          <w:rFonts w:hint="eastAsia" w:ascii="仿宋_GB2312" w:eastAsia="仿宋_GB2312" w:cs="Times New Roman"/>
          <w:color w:val="000000"/>
          <w:kern w:val="2"/>
          <w:sz w:val="32"/>
          <w:szCs w:val="36"/>
          <w:lang w:val="en-US" w:eastAsia="zh-CN" w:bidi="ar-SA"/>
        </w:rPr>
        <w:t>37</w:t>
      </w:r>
      <w:r>
        <w:rPr>
          <w:rFonts w:hint="eastAsia" w:ascii="仿宋_GB2312" w:hAnsi="Calibri" w:eastAsia="仿宋_GB2312" w:cs="Times New Roman"/>
          <w:color w:val="000000"/>
          <w:kern w:val="2"/>
          <w:sz w:val="32"/>
          <w:szCs w:val="36"/>
          <w:lang w:val="en-US" w:eastAsia="zh-CN" w:bidi="ar-SA"/>
        </w:rPr>
        <w:t>号）同时废止。</w:t>
      </w:r>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altName w:val="宋体"/>
    <w:panose1 w:val="02010609030101010101"/>
    <w:charset w:val="86"/>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7E80741"/>
    <w:rsid w:val="3FF939D5"/>
    <w:rsid w:val="3FFB5AA9"/>
    <w:rsid w:val="45AEA2F8"/>
    <w:rsid w:val="57CFB054"/>
    <w:rsid w:val="6F137313"/>
    <w:rsid w:val="79FE1A39"/>
    <w:rsid w:val="7B67AE39"/>
    <w:rsid w:val="7FEF1F72"/>
    <w:rsid w:val="ECD57800"/>
    <w:rsid w:val="F7E9FEBF"/>
    <w:rsid w:val="FFF1F37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4"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3"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4"/>
    <w:pPr>
      <w:outlineLvl w:val="0"/>
    </w:pPr>
    <w:rPr>
      <w:rFonts w:ascii="黑体" w:eastAsia="黑体" w:cstheme="minorBidi"/>
      <w:bCs/>
      <w:kern w:val="44"/>
      <w:szCs w:val="44"/>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next w:val="1"/>
    <w:qFormat/>
    <w:uiPriority w:val="3"/>
    <w:pPr>
      <w:widowControl w:val="0"/>
      <w:adjustRightInd w:val="0"/>
      <w:snapToGrid w:val="0"/>
      <w:spacing w:line="660" w:lineRule="exact"/>
      <w:jc w:val="center"/>
    </w:pPr>
    <w:rPr>
      <w:rFonts w:ascii="方正小标宋简体" w:hAnsi="Cambria" w:eastAsia="方正小标宋简体" w:cstheme="majorBidi"/>
      <w:bCs/>
      <w:kern w:val="2"/>
      <w:sz w:val="44"/>
      <w:szCs w:val="32"/>
      <w:lang w:val="en-US" w:eastAsia="zh-CN" w:bidi="ar-SA"/>
    </w:rPr>
  </w:style>
  <w:style w:type="paragraph" w:customStyle="1" w:styleId="8">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5601</Words>
  <Characters>5686</Characters>
  <Paragraphs>256</Paragraphs>
  <TotalTime>12</TotalTime>
  <ScaleCrop>false</ScaleCrop>
  <LinksUpToDate>false</LinksUpToDate>
  <CharactersWithSpaces>5730</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2024-08-08T01:27:00Z</dcterms:created>
  <dc:creator>WGR-AN19</dc:creator>
  <cp:lastModifiedBy>user</cp:lastModifiedBy>
  <dcterms:modified xsi:type="dcterms:W3CDTF">2025-03-03T17:25:31Z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b0c8a7fb8a8743f1bf71e7bbd4e67809_21</vt:lpwstr>
  </property>
  <property fmtid="{D5CDD505-2E9C-101B-9397-08002B2CF9AE}" pid="3" name="KSOProductBuildVer">
    <vt:lpwstr>2052-11.8.2.10125</vt:lpwstr>
  </property>
</Properties>
</file>